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0.png" ContentType="image/png"/>
  <Override PartName="/word/media/rId37.png" ContentType="image/png"/>
  <Override PartName="/word/media/rId31.png" ContentType="image/png"/>
  <Override PartName="/word/media/rId46.png" ContentType="image/png"/>
  <Override PartName="/word/media/rId22.png" ContentType="image/png"/>
  <Override PartName="/word/media/rId34.png" ContentType="image/png"/>
  <Override PartName="/word/media/rId25.png" ContentType="image/png"/>
  <Override PartName="/word/media/rId28.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variability</w:t>
      </w:r>
      <w:r>
        <w:t xml:space="preserve"> </w:t>
      </w:r>
      <w:r>
        <w:t xml:space="preserve">in</w:t>
      </w:r>
      <w:r>
        <w:t xml:space="preserve"> </w:t>
      </w:r>
      <w:r>
        <w:t xml:space="preserve">economic</w:t>
      </w:r>
      <w:r>
        <w:t xml:space="preserve"> </w:t>
      </w:r>
      <w:r>
        <w:t xml:space="preserve">availability</w:t>
      </w:r>
      <w:r>
        <w:t xml:space="preserve"> </w:t>
      </w:r>
      <w:r>
        <w:t xml:space="preserve">of</w:t>
      </w:r>
      <w:r>
        <w:t xml:space="preserve"> </w:t>
      </w:r>
      <w:r>
        <w:t xml:space="preserve">residual</w:t>
      </w:r>
      <w:r>
        <w:t xml:space="preserve"> </w:t>
      </w:r>
      <w:r>
        <w:t xml:space="preserve">biomass</w:t>
      </w:r>
      <w:r>
        <w:t xml:space="preserve"> </w:t>
      </w:r>
      <w:r>
        <w:t xml:space="preserve">from</w:t>
      </w:r>
      <w:r>
        <w:t xml:space="preserve"> </w:t>
      </w:r>
      <w:r>
        <w:t xml:space="preserve">timber</w:t>
      </w:r>
      <w:r>
        <w:t xml:space="preserve"> </w:t>
      </w:r>
      <w:r>
        <w:t xml:space="preserve">harvest</w:t>
      </w:r>
      <w:r>
        <w:t xml:space="preserve"> </w:t>
      </w:r>
      <w:r>
        <w:t xml:space="preserve">in</w:t>
      </w:r>
      <w:r>
        <w:t xml:space="preserve"> </w:t>
      </w:r>
      <w:r>
        <w:t xml:space="preserve">west-central</w:t>
      </w:r>
      <w:r>
        <w:t xml:space="preserve"> </w:t>
      </w:r>
      <w:r>
        <w:t xml:space="preserve">Alberta,</w:t>
      </w:r>
      <w:r>
        <w:t xml:space="preserve"> </w:t>
      </w:r>
      <w:r>
        <w:t xml:space="preserve">Canada</w:t>
      </w:r>
      <w:r>
        <w:t xml:space="preserve"> </w:t>
      </w:r>
      <w:r>
        <w:t xml:space="preserve">(1990–2015)</w:t>
      </w:r>
    </w:p>
    <w:p>
      <w:pPr>
        <w:pStyle w:val="Author"/>
      </w:pPr>
      <w:r>
        <w:t xml:space="preserve">Glen</w:t>
      </w:r>
      <w:r>
        <w:t xml:space="preserve"> </w:t>
      </w:r>
      <w:r>
        <w:t xml:space="preserve">W.</w:t>
      </w:r>
      <w:r>
        <w:t xml:space="preserve"> </w:t>
      </w:r>
      <w:r>
        <w:t xml:space="preserve">Armstrong</w:t>
      </w:r>
      <w:r>
        <w:rPr>
          <w:vertAlign w:val="superscript"/>
        </w:rPr>
        <w:t xml:space="preserve">1,*</w:t>
      </w:r>
    </w:p>
    <w:p>
      <w:pPr>
        <w:pStyle w:val="Author"/>
      </w:pPr>
      <w:r>
        <w:t xml:space="preserve">Jay</w:t>
      </w:r>
      <w:r>
        <w:t xml:space="preserve"> </w:t>
      </w:r>
      <w:r>
        <w:t xml:space="preserve">A.</w:t>
      </w:r>
      <w:r>
        <w:t xml:space="preserve"> </w:t>
      </w:r>
      <w:r>
        <w:t xml:space="preserve">Anderson</w:t>
      </w:r>
      <w:r>
        <w:rPr>
          <w:vertAlign w:val="superscript"/>
        </w:rPr>
        <w:t xml:space="preserve">2</w:t>
      </w:r>
    </w:p>
    <w:p>
      <w:pPr>
        <w:pStyle w:val="Author"/>
      </w:pPr>
      <w:r>
        <w:t xml:space="preserve">Alex</w:t>
      </w:r>
      <w:r>
        <w:t xml:space="preserve"> </w:t>
      </w:r>
      <w:r>
        <w:t xml:space="preserve">W.</w:t>
      </w:r>
      <w:r>
        <w:t xml:space="preserve"> </w:t>
      </w:r>
      <w:r>
        <w:t xml:space="preserve">McPhee</w:t>
      </w:r>
      <w:r>
        <w:rPr>
          <w:vertAlign w:val="superscript"/>
        </w:rPr>
        <w:t xml:space="preserve">2</w:t>
      </w:r>
    </w:p>
    <w:p>
      <w:pPr>
        <w:pStyle w:val="Author"/>
      </w:pPr>
      <w:r>
        <w:t xml:space="preserve">M.K.</w:t>
      </w:r>
      <w:r>
        <w:t xml:space="preserve"> </w:t>
      </w:r>
      <w:r>
        <w:t xml:space="preserve">Luckert</w:t>
      </w:r>
      <w:r>
        <w:rPr>
          <w:vertAlign w:val="superscript"/>
        </w:rPr>
        <w:t xml:space="preserve">2</w:t>
      </w:r>
    </w:p>
    <w:p>
      <w:pPr>
        <w:pStyle w:val="Date"/>
      </w:pPr>
      <w:r>
        <w:t xml:space="preserve">2022-11-18</w:t>
      </w:r>
    </w:p>
    <w:p>
      <w:pPr>
        <w:pStyle w:val="FirstParagraph"/>
      </w:pPr>
      <w:r>
        <w:rPr>
          <w:vertAlign w:val="superscript"/>
        </w:rPr>
        <w:t xml:space="preserve">1</w:t>
      </w:r>
      <w:r>
        <w:t xml:space="preserve"> </w:t>
      </w:r>
      <w:r>
        <w:t xml:space="preserve">Department of Renewable Resources, University of</w:t>
      </w:r>
      <w:r>
        <w:t xml:space="preserve"> </w:t>
      </w:r>
      <w:r>
        <w:t xml:space="preserve">Alberta, Edmonton AB T6G 2H1, Canada</w:t>
      </w:r>
      <w:r>
        <w:br/>
      </w:r>
      <w:r>
        <w:rPr>
          <w:vertAlign w:val="superscript"/>
        </w:rPr>
        <w:t xml:space="preserve">2</w:t>
      </w:r>
      <w:r>
        <w:t xml:space="preserve"> </w:t>
      </w:r>
      <w:r>
        <w:t xml:space="preserve">Department of Resource Economics and Environmental</w:t>
      </w:r>
      <w:r>
        <w:t xml:space="preserve"> </w:t>
      </w:r>
      <w:r>
        <w:t xml:space="preserve">Sociology, University of Alberta, Edmonton AB T6G 2H1, Canada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Glen</w:t>
        </w:r>
        <w:r>
          <w:rPr>
            <w:rStyle w:val="Hyperlink"/>
          </w:rPr>
          <w:t xml:space="preserve"> </w:t>
        </w:r>
        <w:r>
          <w:rPr>
            <w:rStyle w:val="Hyperlink"/>
          </w:rPr>
          <w:t xml:space="preserve">W. Armstrong</w:t>
        </w:r>
        <w:r>
          <w:rPr>
            <w:rStyle w:val="Hyperlink"/>
          </w:rPr>
          <w:t xml:space="preserve"> </w:t>
        </w:r>
        <w:r>
          <w:rPr>
            <w:rStyle w:val="Hyperlink"/>
          </w:rPr>
          <w:t xml:space="preserve">&lt;</w:t>
        </w:r>
        <w:hyperlink r:id="rId20">
          <w:r>
            <w:rPr>
              <w:rStyle w:val="VerbatimChar"/>
            </w:rPr>
            <w:t xml:space="preserve">gwa@ualberta.ca</w:t>
          </w:r>
        </w:hyperlink>
        <w:r>
          <w:rPr>
            <w:rStyle w:val="Hyperlink"/>
          </w:rPr>
          <w:t xml:space="preserve">&gt;</w:t>
        </w:r>
      </w:hyperlink>
    </w:p>
    <w:bookmarkStart w:id="21" w:name="tables"/>
    <w:p>
      <w:pPr>
        <w:pStyle w:val="Heading1"/>
      </w:pPr>
      <w:r>
        <w:t xml:space="preserve">Tables</w:t>
      </w:r>
    </w:p>
    <w:p>
      <w:pPr>
        <w:pStyle w:val="FirstParagraph"/>
      </w:pPr>
      <w:r>
        <w:t xml:space="preserve">Table 1: Average road speeds(km/h) by road class.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w:t>
            </w:r>
            <w:r>
              <w:t xml:space="preserve"> </w:t>
            </w:r>
            <w:r>
              <w:t xml:space="preserve">Road class</w:t>
            </w:r>
          </w:p>
        </w:tc>
        <w:tc>
          <w:tcPr/>
          <w:p>
            <w:pPr>
              <w:pStyle w:val="Compact"/>
              <w:jc w:val="right"/>
            </w:pPr>
            <w:r>
              <w:t xml:space="preserve">loaded</w:t>
            </w:r>
          </w:p>
        </w:tc>
        <w:tc>
          <w:tcPr/>
          <w:p>
            <w:pPr>
              <w:pStyle w:val="Compact"/>
              <w:jc w:val="right"/>
            </w:pPr>
            <w:r>
              <w:t xml:space="preserve">unloaded</w:t>
            </w:r>
          </w:p>
        </w:tc>
        <w:tc>
          <w:tcPr/>
          <w:p>
            <w:pPr>
              <w:pStyle w:val="Compact"/>
              <w:jc w:val="right"/>
            </w:pPr>
            <w:r>
              <w:t xml:space="preserve">harmonic mean</w:t>
            </w:r>
          </w:p>
        </w:tc>
      </w:tr>
      <w:tr>
        <w:tc>
          <w:tcPr/>
          <w:p>
            <w:pPr>
              <w:pStyle w:val="Compact"/>
              <w:jc w:val="left"/>
            </w:pPr>
            <w:r>
              <w:t xml:space="preserve">()</w:t>
            </w:r>
            <w:r>
              <w:t xml:space="preserve"> </w:t>
            </w:r>
            <w:r>
              <w:t xml:space="preserve">primary highways</w:t>
            </w:r>
          </w:p>
        </w:tc>
        <w:tc>
          <w:tcPr/>
          <w:p>
            <w:pPr>
              <w:pStyle w:val="Compact"/>
              <w:jc w:val="right"/>
            </w:pPr>
            <w:r>
              <w:t xml:space="preserve">85</w:t>
            </w:r>
          </w:p>
        </w:tc>
        <w:tc>
          <w:tcPr/>
          <w:p>
            <w:pPr>
              <w:pStyle w:val="Compact"/>
              <w:jc w:val="right"/>
            </w:pPr>
            <w:r>
              <w:t xml:space="preserve">95</w:t>
            </w:r>
          </w:p>
        </w:tc>
        <w:tc>
          <w:tcPr/>
          <w:p>
            <w:pPr>
              <w:pStyle w:val="Compact"/>
              <w:jc w:val="right"/>
            </w:pPr>
            <w:r>
              <w:t xml:space="preserve">90</w:t>
            </w:r>
          </w:p>
        </w:tc>
      </w:tr>
      <w:tr>
        <w:tc>
          <w:tcPr/>
          <w:p>
            <w:pPr>
              <w:pStyle w:val="Compact"/>
              <w:jc w:val="left"/>
            </w:pPr>
            <w:r>
              <w:t xml:space="preserve">other paved</w:t>
            </w:r>
          </w:p>
        </w:tc>
        <w:tc>
          <w:tcPr/>
          <w:p>
            <w:pPr>
              <w:pStyle w:val="Compact"/>
              <w:jc w:val="right"/>
            </w:pPr>
            <w:r>
              <w:t xml:space="preserve">77</w:t>
            </w:r>
          </w:p>
        </w:tc>
        <w:tc>
          <w:tcPr/>
          <w:p>
            <w:pPr>
              <w:pStyle w:val="Compact"/>
              <w:jc w:val="right"/>
            </w:pPr>
            <w:r>
              <w:t xml:space="preserve">86</w:t>
            </w:r>
          </w:p>
        </w:tc>
        <w:tc>
          <w:tcPr/>
          <w:p>
            <w:pPr>
              <w:pStyle w:val="Compact"/>
              <w:jc w:val="right"/>
            </w:pPr>
            <w:r>
              <w:t xml:space="preserve">81</w:t>
            </w:r>
          </w:p>
        </w:tc>
      </w:tr>
      <w:tr>
        <w:tc>
          <w:tcPr/>
          <w:p>
            <w:pPr>
              <w:pStyle w:val="Compact"/>
              <w:jc w:val="left"/>
            </w:pPr>
            <w:r>
              <w:t xml:space="preserve">2-lane gravel</w:t>
            </w:r>
          </w:p>
        </w:tc>
        <w:tc>
          <w:tcPr/>
          <w:p>
            <w:pPr>
              <w:pStyle w:val="Compact"/>
              <w:jc w:val="right"/>
            </w:pPr>
            <w:r>
              <w:t xml:space="preserve">60</w:t>
            </w:r>
          </w:p>
        </w:tc>
        <w:tc>
          <w:tcPr/>
          <w:p>
            <w:pPr>
              <w:pStyle w:val="Compact"/>
              <w:jc w:val="right"/>
            </w:pPr>
            <w:r>
              <w:t xml:space="preserve">67</w:t>
            </w:r>
          </w:p>
        </w:tc>
        <w:tc>
          <w:tcPr/>
          <w:p>
            <w:pPr>
              <w:pStyle w:val="Compact"/>
              <w:jc w:val="right"/>
            </w:pPr>
            <w:r>
              <w:t xml:space="preserve">63</w:t>
            </w:r>
          </w:p>
        </w:tc>
      </w:tr>
      <w:tr>
        <w:tc>
          <w:tcPr/>
          <w:p>
            <w:pPr>
              <w:pStyle w:val="Compact"/>
              <w:jc w:val="left"/>
            </w:pPr>
            <w:r>
              <w:t xml:space="preserve">1-lane gravel or dirt</w:t>
            </w:r>
          </w:p>
        </w:tc>
        <w:tc>
          <w:tcPr/>
          <w:p>
            <w:pPr>
              <w:pStyle w:val="Compact"/>
              <w:jc w:val="right"/>
            </w:pPr>
            <w:r>
              <w:t xml:space="preserve">29</w:t>
            </w:r>
          </w:p>
        </w:tc>
        <w:tc>
          <w:tcPr/>
          <w:p>
            <w:pPr>
              <w:pStyle w:val="Compact"/>
              <w:jc w:val="right"/>
            </w:pPr>
            <w:r>
              <w:t xml:space="preserve">25</w:t>
            </w:r>
          </w:p>
        </w:tc>
        <w:tc>
          <w:tcPr/>
          <w:p>
            <w:pPr>
              <w:pStyle w:val="Compact"/>
              <w:jc w:val="right"/>
            </w:pPr>
            <w:r>
              <w:t xml:space="preserve">27</w:t>
            </w:r>
          </w:p>
        </w:tc>
      </w:tr>
      <w:tr>
        <w:tc>
          <w:tcPr/>
          <w:p>
            <w:pPr>
              <w:pStyle w:val="Compact"/>
              <w:jc w:val="left"/>
            </w:pPr>
            <w:r>
              <w:t xml:space="preserve">no road</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r>
      <w:tr>
        <w:tc>
          <w:tcPr/>
          <w:p>
            <w:pPr>
              <w:pStyle w:val="Compact"/>
              <w:jc w:val="left"/>
            </w:pPr>
            <w:r>
              <w:t xml:space="preserve">()</w:t>
            </w:r>
          </w:p>
        </w:tc>
        <w:tc>
          <w:tcPr/>
          <w:p>
            <w:pPr>
              <w:pStyle w:val="Compact"/>
            </w:pPr>
          </w:p>
        </w:tc>
        <w:tc>
          <w:tcPr/>
          <w:p>
            <w:pPr>
              <w:pStyle w:val="Compact"/>
            </w:pPr>
          </w:p>
        </w:tc>
        <w:tc>
          <w:tcPr/>
          <w:p>
            <w:pPr>
              <w:pStyle w:val="Compact"/>
            </w:pPr>
          </w:p>
        </w:tc>
      </w:tr>
    </w:tbl>
    <w:p>
      <w:pPr>
        <w:pStyle w:val="BodyText"/>
      </w:pPr>
      <w:r>
        <w:t xml:space="preserve">Table 2: Summary statistics for residue costs by location and capacity.</w:t>
      </w:r>
    </w:p>
    <w:p>
      <w:pPr>
        <w:pStyle w:val="TableCaption"/>
      </w:pPr>
      <w:r>
        <w:t xml:space="preserve">*</w:t>
      </w:r>
    </w:p>
    <w:tbl>
      <w:tblPr>
        <w:tblStyle w:val="Table"/>
        <w:tblW w:type="auto" w:w="0"/>
        <w:tblLook w:firstRow="1" w:lastRow="0" w:firstColumn="0" w:lastColumn="0" w:noHBand="0" w:noVBand="0" w:val="0020"/>
        <w:tblCaption w:val="*"/>
      </w:tblPr>
      <w:tblGrid>
        <w:gridCol w:w="1980"/>
        <w:gridCol w:w="1980"/>
        <w:gridCol w:w="1980"/>
        <w:gridCol w:w="1980"/>
      </w:tblGrid>
      <w:tr>
        <w:trPr>
          <w:tblHeader w:val="true"/>
        </w:trPr>
        <w:tc>
          <w:tcPr/>
          <w:p>
            <w:pPr>
              <w:pStyle w:val="Compact"/>
              <w:jc w:val="right"/>
            </w:pPr>
            <w:r>
              <w:t xml:space="preserve"> </w:t>
            </w:r>
            <w:r>
              <w:t xml:space="preserve">summary stats</w:t>
            </w:r>
            <w:r>
              <w:t xml:space="preserve"> </w:t>
            </w:r>
          </w:p>
        </w:tc>
        <w:tc>
          <w:tcPr/>
          <w:p>
            <w:pPr>
              <w:pStyle w:val="Compact"/>
            </w:pPr>
          </w:p>
        </w:tc>
        <w:tc>
          <w:tcPr/>
          <w:p>
            <w:pPr>
              <w:pStyle w:val="Compact"/>
            </w:pPr>
          </w:p>
        </w:tc>
        <w:tc>
          <w:tcPr/>
          <w:p>
            <w:pPr>
              <w:pStyle w:val="Compact"/>
            </w:pPr>
          </w:p>
        </w:tc>
      </w:tr>
      <w:tr>
        <w:tc>
          <w:tcPr/>
          <w:p>
            <w:pPr>
              <w:pStyle w:val="Compact"/>
              <w:jc w:val="right"/>
            </w:pPr>
            <w:r>
              <w:t xml:space="preserve">Capacity (Gg/a)</w:t>
            </w:r>
          </w:p>
        </w:tc>
        <w:tc>
          <w:tcPr/>
          <w:p>
            <w:pPr>
              <w:pStyle w:val="Compact"/>
              <w:jc w:val="right"/>
            </w:pPr>
            <w:r>
              <w:t xml:space="preserve">Mean ($/Mg)</w:t>
            </w:r>
          </w:p>
        </w:tc>
        <w:tc>
          <w:tcPr/>
          <w:p>
            <w:pPr>
              <w:pStyle w:val="Compact"/>
              <w:jc w:val="right"/>
            </w:pPr>
            <w:r>
              <w:t xml:space="preserve">Std. Dev. ($/Mg)</w:t>
            </w:r>
          </w:p>
        </w:tc>
        <w:tc>
          <w:tcPr/>
          <w:p>
            <w:pPr>
              <w:pStyle w:val="Compact"/>
              <w:jc w:val="right"/>
            </w:pPr>
            <w:r>
              <w:t xml:space="preserve">C.V.</w:t>
            </w:r>
          </w:p>
        </w:tc>
      </w:tr>
      <w:tr>
        <w:tc>
          <w:tcPr>
            <w:gridSpan w:val="4"/>
          </w:tcPr>
          <w:p>
            <w:pPr>
              <w:pStyle w:val="Compact"/>
              <w:jc w:val="left"/>
            </w:pPr>
            <w:r>
              <w:t xml:space="preserve">Edson</w:t>
            </w:r>
          </w:p>
        </w:tc>
      </w:tr>
      <w:tr>
        <w:tc>
          <w:tcPr/>
          <w:p>
            <w:pPr>
              <w:pStyle w:val="Compact"/>
              <w:jc w:val="right"/>
            </w:pPr>
            <m:oMath>
              <m:r>
                <m:t>200</m:t>
              </m:r>
            </m:oMath>
          </w:p>
        </w:tc>
        <w:tc>
          <w:tcPr/>
          <w:p>
            <w:pPr>
              <w:pStyle w:val="Compact"/>
              <w:jc w:val="right"/>
            </w:pPr>
            <m:oMath>
              <m:r>
                <m:t>87.0</m:t>
              </m:r>
            </m:oMath>
          </w:p>
        </w:tc>
        <w:tc>
          <w:tcPr/>
          <w:p>
            <w:pPr>
              <w:pStyle w:val="Compact"/>
              <w:jc w:val="right"/>
            </w:pPr>
            <m:oMath>
              <m:r>
                <m:t>4.42</m:t>
              </m:r>
            </m:oMath>
          </w:p>
        </w:tc>
        <w:tc>
          <w:tcPr/>
          <w:p>
            <w:pPr>
              <w:pStyle w:val="Compact"/>
              <w:jc w:val="right"/>
            </w:pPr>
            <m:oMath>
              <m:r>
                <m:t>0.0508</m:t>
              </m:r>
            </m:oMath>
          </w:p>
        </w:tc>
      </w:tr>
      <w:tr>
        <w:tc>
          <w:tcPr/>
          <w:p>
            <w:pPr>
              <w:pStyle w:val="Compact"/>
              <w:jc w:val="right"/>
            </w:pPr>
            <m:oMath>
              <m:r>
                <m:t>400</m:t>
              </m:r>
            </m:oMath>
          </w:p>
        </w:tc>
        <w:tc>
          <w:tcPr/>
          <w:p>
            <w:pPr>
              <w:pStyle w:val="Compact"/>
              <w:jc w:val="right"/>
            </w:pPr>
            <m:oMath>
              <m:r>
                <m:t>98.6</m:t>
              </m:r>
            </m:oMath>
          </w:p>
        </w:tc>
        <w:tc>
          <w:tcPr/>
          <w:p>
            <w:pPr>
              <w:pStyle w:val="Compact"/>
              <w:jc w:val="right"/>
            </w:pPr>
            <m:oMath>
              <m:r>
                <m:t>5.94</m:t>
              </m:r>
            </m:oMath>
          </w:p>
        </w:tc>
        <w:tc>
          <w:tcPr/>
          <w:p>
            <w:pPr>
              <w:pStyle w:val="Compact"/>
              <w:jc w:val="right"/>
            </w:pPr>
            <m:oMath>
              <m:r>
                <m:t>0.0603</m:t>
              </m:r>
            </m:oMath>
          </w:p>
        </w:tc>
      </w:tr>
      <w:tr>
        <w:tc>
          <w:tcPr/>
          <w:p>
            <w:pPr>
              <w:pStyle w:val="Compact"/>
              <w:jc w:val="right"/>
            </w:pPr>
            <m:oMath>
              <m:r>
                <m:t>800</m:t>
              </m:r>
            </m:oMath>
          </w:p>
        </w:tc>
        <w:tc>
          <w:tcPr/>
          <w:p>
            <w:pPr>
              <w:pStyle w:val="Compact"/>
              <w:jc w:val="right"/>
            </w:pPr>
            <m:oMath>
              <m:r>
                <m:t>128</m:t>
              </m:r>
            </m:oMath>
          </w:p>
        </w:tc>
        <w:tc>
          <w:tcPr/>
          <w:p>
            <w:pPr>
              <w:pStyle w:val="Compact"/>
              <w:jc w:val="right"/>
            </w:pPr>
            <m:oMath>
              <m:r>
                <m:t>14.0</m:t>
              </m:r>
            </m:oMath>
          </w:p>
        </w:tc>
        <w:tc>
          <w:tcPr/>
          <w:p>
            <w:pPr>
              <w:pStyle w:val="Compact"/>
              <w:jc w:val="right"/>
            </w:pPr>
            <m:oMath>
              <m:r>
                <m:t>0.109</m:t>
              </m:r>
            </m:oMath>
          </w:p>
        </w:tc>
      </w:tr>
      <w:tr>
        <w:tc>
          <w:tcPr>
            <w:gridSpan w:val="4"/>
          </w:tcPr>
          <w:p>
            <w:pPr>
              <w:pStyle w:val="Compact"/>
              <w:jc w:val="left"/>
            </w:pPr>
            <w:r>
              <w:t xml:space="preserve">Hinton</w:t>
            </w:r>
          </w:p>
        </w:tc>
      </w:tr>
      <w:tr>
        <w:tc>
          <w:tcPr/>
          <w:p>
            <w:pPr>
              <w:pStyle w:val="Compact"/>
              <w:jc w:val="right"/>
            </w:pPr>
            <m:oMath>
              <m:r>
                <m:t>200</m:t>
              </m:r>
            </m:oMath>
          </w:p>
        </w:tc>
        <w:tc>
          <w:tcPr/>
          <w:p>
            <w:pPr>
              <w:pStyle w:val="Compact"/>
              <w:jc w:val="right"/>
            </w:pPr>
            <m:oMath>
              <m:r>
                <m:t>87.5</m:t>
              </m:r>
            </m:oMath>
          </w:p>
        </w:tc>
        <w:tc>
          <w:tcPr/>
          <w:p>
            <w:pPr>
              <w:pStyle w:val="Compact"/>
              <w:jc w:val="right"/>
            </w:pPr>
            <m:oMath>
              <m:r>
                <m:t>7.08</m:t>
              </m:r>
            </m:oMath>
          </w:p>
        </w:tc>
        <w:tc>
          <w:tcPr/>
          <w:p>
            <w:pPr>
              <w:pStyle w:val="Compact"/>
              <w:jc w:val="right"/>
            </w:pPr>
            <m:oMath>
              <m:r>
                <m:t>0.0809</m:t>
              </m:r>
            </m:oMath>
          </w:p>
        </w:tc>
      </w:tr>
      <w:tr>
        <w:tc>
          <w:tcPr/>
          <w:p>
            <w:pPr>
              <w:pStyle w:val="Compact"/>
              <w:jc w:val="right"/>
            </w:pPr>
            <m:oMath>
              <m:r>
                <m:t>400</m:t>
              </m:r>
            </m:oMath>
          </w:p>
        </w:tc>
        <w:tc>
          <w:tcPr/>
          <w:p>
            <w:pPr>
              <w:pStyle w:val="Compact"/>
              <w:jc w:val="right"/>
            </w:pPr>
            <m:oMath>
              <m:r>
                <m:t>105</m:t>
              </m:r>
            </m:oMath>
          </w:p>
        </w:tc>
        <w:tc>
          <w:tcPr/>
          <w:p>
            <w:pPr>
              <w:pStyle w:val="Compact"/>
              <w:jc w:val="right"/>
            </w:pPr>
            <m:oMath>
              <m:r>
                <m:t>8.44</m:t>
              </m:r>
            </m:oMath>
          </w:p>
        </w:tc>
        <w:tc>
          <w:tcPr/>
          <w:p>
            <w:pPr>
              <w:pStyle w:val="Compact"/>
              <w:jc w:val="right"/>
            </w:pPr>
            <m:oMath>
              <m:r>
                <m:t>0.0804</m:t>
              </m:r>
            </m:oMath>
          </w:p>
        </w:tc>
      </w:tr>
      <w:tr>
        <w:tc>
          <w:tcPr/>
          <w:p>
            <w:pPr>
              <w:pStyle w:val="Compact"/>
              <w:jc w:val="right"/>
            </w:pPr>
            <m:oMath>
              <m:r>
                <m:t>800</m:t>
              </m:r>
            </m:oMath>
          </w:p>
        </w:tc>
        <w:tc>
          <w:tcPr/>
          <w:p>
            <w:pPr>
              <w:pStyle w:val="Compact"/>
              <w:jc w:val="right"/>
            </w:pPr>
            <m:oMath>
              <m:r>
                <m:t>138</m:t>
              </m:r>
            </m:oMath>
          </w:p>
        </w:tc>
        <w:tc>
          <w:tcPr/>
          <w:p>
            <w:pPr>
              <w:pStyle w:val="Compact"/>
              <w:jc w:val="right"/>
            </w:pPr>
            <m:oMath>
              <m:r>
                <m:t>15.7</m:t>
              </m:r>
            </m:oMath>
          </w:p>
        </w:tc>
        <w:tc>
          <w:tcPr/>
          <w:p>
            <w:pPr>
              <w:pStyle w:val="Compact"/>
              <w:jc w:val="right"/>
            </w:pPr>
            <m:oMath>
              <m:r>
                <m:t>0.113</m:t>
              </m:r>
            </m:oMath>
          </w:p>
        </w:tc>
      </w:tr>
      <w:tr>
        <w:tc>
          <w:tcPr>
            <w:gridSpan w:val="4"/>
          </w:tcPr>
          <w:p>
            <w:pPr>
              <w:pStyle w:val="Compact"/>
              <w:jc w:val="left"/>
            </w:pPr>
            <w:r>
              <w:t xml:space="preserve">Whitecourt</w:t>
            </w:r>
          </w:p>
        </w:tc>
      </w:tr>
      <w:tr>
        <w:tc>
          <w:tcPr/>
          <w:p>
            <w:pPr>
              <w:pStyle w:val="Compact"/>
              <w:jc w:val="right"/>
            </w:pPr>
            <m:oMath>
              <m:r>
                <m:t>200</m:t>
              </m:r>
            </m:oMath>
          </w:p>
        </w:tc>
        <w:tc>
          <w:tcPr/>
          <w:p>
            <w:pPr>
              <w:pStyle w:val="Compact"/>
              <w:jc w:val="right"/>
            </w:pPr>
            <m:oMath>
              <m:r>
                <m:t>87.6</m:t>
              </m:r>
            </m:oMath>
          </w:p>
        </w:tc>
        <w:tc>
          <w:tcPr/>
          <w:p>
            <w:pPr>
              <w:pStyle w:val="Compact"/>
              <w:jc w:val="right"/>
            </w:pPr>
            <m:oMath>
              <m:r>
                <m:t>3.82</m:t>
              </m:r>
            </m:oMath>
          </w:p>
        </w:tc>
        <w:tc>
          <w:tcPr/>
          <w:p>
            <w:pPr>
              <w:pStyle w:val="Compact"/>
              <w:jc w:val="right"/>
            </w:pPr>
            <m:oMath>
              <m:r>
                <m:t>0.0436</m:t>
              </m:r>
            </m:oMath>
          </w:p>
        </w:tc>
      </w:tr>
      <w:tr>
        <w:tc>
          <w:tcPr/>
          <w:p>
            <w:pPr>
              <w:pStyle w:val="Compact"/>
              <w:jc w:val="right"/>
            </w:pPr>
            <m:oMath>
              <m:r>
                <m:t>400</m:t>
              </m:r>
            </m:oMath>
          </w:p>
        </w:tc>
        <w:tc>
          <w:tcPr/>
          <w:p>
            <w:pPr>
              <w:pStyle w:val="Compact"/>
              <w:jc w:val="right"/>
            </w:pPr>
            <m:oMath>
              <m:r>
                <m:t>101</m:t>
              </m:r>
            </m:oMath>
          </w:p>
        </w:tc>
        <w:tc>
          <w:tcPr/>
          <w:p>
            <w:pPr>
              <w:pStyle w:val="Compact"/>
              <w:jc w:val="right"/>
            </w:pPr>
            <m:oMath>
              <m:r>
                <m:t>5.41</m:t>
              </m:r>
            </m:oMath>
          </w:p>
        </w:tc>
        <w:tc>
          <w:tcPr/>
          <w:p>
            <w:pPr>
              <w:pStyle w:val="Compact"/>
              <w:jc w:val="right"/>
            </w:pPr>
            <m:oMath>
              <m:r>
                <m:t>0.0537</m:t>
              </m:r>
            </m:oMath>
          </w:p>
        </w:tc>
      </w:tr>
      <w:tr>
        <w:tc>
          <w:tcPr/>
          <w:p>
            <w:pPr>
              <w:pStyle w:val="Compact"/>
              <w:jc w:val="right"/>
            </w:pPr>
            <m:oMath>
              <m:r>
                <m:t>800</m:t>
              </m:r>
            </m:oMath>
          </w:p>
        </w:tc>
        <w:tc>
          <w:tcPr/>
          <w:p>
            <w:pPr>
              <w:pStyle w:val="Compact"/>
              <w:jc w:val="right"/>
            </w:pPr>
            <m:oMath>
              <m:r>
                <m:t>122</m:t>
              </m:r>
            </m:oMath>
          </w:p>
        </w:tc>
        <w:tc>
          <w:tcPr/>
          <w:p>
            <w:pPr>
              <w:pStyle w:val="Compact"/>
              <w:jc w:val="right"/>
            </w:pPr>
            <m:oMath>
              <m:r>
                <m:t>9.88</m:t>
              </m:r>
            </m:oMath>
          </w:p>
        </w:tc>
        <w:tc>
          <w:tcPr/>
          <w:p>
            <w:pPr>
              <w:pStyle w:val="Compact"/>
              <w:jc w:val="right"/>
            </w:pPr>
            <m:oMath>
              <m:r>
                <m:t>0.0809</m:t>
              </m:r>
            </m:oMath>
          </w:p>
        </w:tc>
      </w:tr>
    </w:tbl>
    <w:bookmarkEnd w:id="21"/>
    <w:bookmarkStart w:id="52" w:name="figures"/>
    <w:p>
      <w:pPr>
        <w:pStyle w:val="Heading1"/>
      </w:pPr>
      <w:r>
        <w:t xml:space="preserve">Figures</w:t>
      </w:r>
    </w:p>
    <w:p>
      <w:pPr>
        <w:pStyle w:val="CaptionedFigure"/>
      </w:pPr>
      <w:r>
        <w:drawing>
          <wp:inline>
            <wp:extent cx="5334000" cy="6032003"/>
            <wp:effectExtent b="0" l="0" r="0" t="0"/>
            <wp:docPr descr="Harvest areas for the year 2009 aggregated to township level. Size of circles indicates township harvest area. Harvests are shown relative to Alberta’s Green and White Areas, and those areas not in either (cross-hatching). The locations of Hinton, Edson, and Whitecourt are indicated on the map." title="" id="23" name="Picture"/>
            <a:graphic>
              <a:graphicData uri="http://schemas.openxmlformats.org/drawingml/2006/picture">
                <pic:pic>
                  <pic:nvPicPr>
                    <pic:cNvPr descr="../../img/figHarvest2009.png" id="24" name="Picture"/>
                    <pic:cNvPicPr>
                      <a:picLocks noChangeArrowheads="1" noChangeAspect="1"/>
                    </pic:cNvPicPr>
                  </pic:nvPicPr>
                  <pic:blipFill>
                    <a:blip r:embed="rId22"/>
                    <a:stretch>
                      <a:fillRect/>
                    </a:stretch>
                  </pic:blipFill>
                  <pic:spPr bwMode="auto">
                    <a:xfrm>
                      <a:off x="0" y="0"/>
                      <a:ext cx="5334000" cy="6032003"/>
                    </a:xfrm>
                    <a:prstGeom prst="rect">
                      <a:avLst/>
                    </a:prstGeom>
                    <a:noFill/>
                    <a:ln w="9525">
                      <a:noFill/>
                      <a:headEnd/>
                      <a:tailEnd/>
                    </a:ln>
                  </pic:spPr>
                </pic:pic>
              </a:graphicData>
            </a:graphic>
          </wp:inline>
        </w:drawing>
      </w:r>
    </w:p>
    <w:p>
      <w:pPr>
        <w:pStyle w:val="ImageCaption"/>
      </w:pPr>
      <w:r>
        <w:t xml:space="preserve">Harvest areas for the year 2009 aggregated to township level.</w:t>
      </w:r>
      <w:r>
        <w:t xml:space="preserve"> </w:t>
      </w:r>
      <w:r>
        <w:t xml:space="preserve">Size of circles indicates township harvest area. Harvests are shown</w:t>
      </w:r>
      <w:r>
        <w:t xml:space="preserve"> </w:t>
      </w:r>
      <w:r>
        <w:t xml:space="preserve">relative to Alberta’s Green and White Areas, and those areas not in</w:t>
      </w:r>
      <w:r>
        <w:t xml:space="preserve"> </w:t>
      </w:r>
      <w:r>
        <w:t xml:space="preserve">either (cross-hatching). The locations of Hinton, Edson, and Whitecourt</w:t>
      </w:r>
      <w:r>
        <w:t xml:space="preserve"> </w:t>
      </w:r>
      <w:r>
        <w:t xml:space="preserve">are indicated on the map.</w:t>
      </w:r>
    </w:p>
    <w:p>
      <w:pPr>
        <w:pStyle w:val="CaptionedFigure"/>
      </w:pPr>
      <w:r>
        <w:drawing>
          <wp:inline>
            <wp:extent cx="5334000" cy="4933342"/>
            <wp:effectExtent b="0" l="0" r="0" t="0"/>
            <wp:docPr descr="Alberta road network (left) and cycle time (right) from Whitecourt, limited to 14 hours." title="" id="26" name="Picture"/>
            <a:graphic>
              <a:graphicData uri="http://schemas.openxmlformats.org/drawingml/2006/picture">
                <pic:pic>
                  <pic:nvPicPr>
                    <pic:cNvPr descr="../../img/network_service.png" id="27" name="Picture"/>
                    <pic:cNvPicPr>
                      <a:picLocks noChangeArrowheads="1" noChangeAspect="1"/>
                    </pic:cNvPicPr>
                  </pic:nvPicPr>
                  <pic:blipFill>
                    <a:blip r:embed="rId25"/>
                    <a:stretch>
                      <a:fillRect/>
                    </a:stretch>
                  </pic:blipFill>
                  <pic:spPr bwMode="auto">
                    <a:xfrm>
                      <a:off x="0" y="0"/>
                      <a:ext cx="5334000" cy="4933342"/>
                    </a:xfrm>
                    <a:prstGeom prst="rect">
                      <a:avLst/>
                    </a:prstGeom>
                    <a:noFill/>
                    <a:ln w="9525">
                      <a:noFill/>
                      <a:headEnd/>
                      <a:tailEnd/>
                    </a:ln>
                  </pic:spPr>
                </pic:pic>
              </a:graphicData>
            </a:graphic>
          </wp:inline>
        </w:drawing>
      </w:r>
    </w:p>
    <w:p>
      <w:pPr>
        <w:pStyle w:val="ImageCaption"/>
      </w:pPr>
      <w:r>
        <w:t xml:space="preserve">Alberta road network (left) and cycle time (right) from</w:t>
      </w:r>
      <w:r>
        <w:t xml:space="preserve"> </w:t>
      </w:r>
      <w:r>
        <w:t xml:space="preserve">Whitecourt, limited to 14 hours.</w:t>
      </w:r>
    </w:p>
    <w:p>
      <w:pPr>
        <w:pStyle w:val="CaptionedFigure"/>
      </w:pPr>
      <w:r>
        <w:drawing>
          <wp:inline>
            <wp:extent cx="5334000" cy="3000375"/>
            <wp:effectExtent b="0" l="0" r="0" t="0"/>
            <wp:docPr descr="Pseudocode demonstrating greedy optimization model." title="" id="29" name="Picture"/>
            <a:graphic>
              <a:graphicData uri="http://schemas.openxmlformats.org/drawingml/2006/picture">
                <pic:pic>
                  <pic:nvPicPr>
                    <pic:cNvPr descr="../../img/pseudocode.png" id="3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Pseudocode demonstrating greedy optimization model.</w:t>
      </w:r>
    </w:p>
    <w:p>
      <w:pPr>
        <w:pStyle w:val="BodyText"/>
      </w:pPr>
      <w:r>
        <w:t xml:space="preserve">“‘</w:t>
      </w:r>
    </w:p>
    <w:p>
      <w:pPr>
        <w:pStyle w:val="CaptionedFigure"/>
      </w:pPr>
      <w:r>
        <w:drawing>
          <wp:inline>
            <wp:extent cx="5334000" cy="3690033"/>
            <wp:effectExtent b="0" l="0" r="0" t="0"/>
            <wp:docPr descr="Distribution of cycle times by location for each of the years 1990–2015. Black curves are for a low harvest level year (1990), a medium harvest level year (2009), and a high harvest level year (2005). Gray curves are for each of the other 23 years." title="" id="32" name="Picture"/>
            <a:graphic>
              <a:graphicData uri="http://schemas.openxmlformats.org/drawingml/2006/picture">
                <pic:pic>
                  <pic:nvPicPr>
                    <pic:cNvPr descr="../../img/cyclePlot.png" id="33" name="Picture"/>
                    <pic:cNvPicPr>
                      <a:picLocks noChangeArrowheads="1" noChangeAspect="1"/>
                    </pic:cNvPicPr>
                  </pic:nvPicPr>
                  <pic:blipFill>
                    <a:blip r:embed="rId31"/>
                    <a:stretch>
                      <a:fillRect/>
                    </a:stretch>
                  </pic:blipFill>
                  <pic:spPr bwMode="auto">
                    <a:xfrm>
                      <a:off x="0" y="0"/>
                      <a:ext cx="5334000" cy="3690033"/>
                    </a:xfrm>
                    <a:prstGeom prst="rect">
                      <a:avLst/>
                    </a:prstGeom>
                    <a:noFill/>
                    <a:ln w="9525">
                      <a:noFill/>
                      <a:headEnd/>
                      <a:tailEnd/>
                    </a:ln>
                  </pic:spPr>
                </pic:pic>
              </a:graphicData>
            </a:graphic>
          </wp:inline>
        </w:drawing>
      </w:r>
    </w:p>
    <w:p>
      <w:pPr>
        <w:pStyle w:val="ImageCaption"/>
      </w:pPr>
      <w:r>
        <w:t xml:space="preserve">Distribution of cycle times by location for each of the years</w:t>
      </w:r>
      <w:r>
        <w:t xml:space="preserve"> </w:t>
      </w:r>
      <w:r>
        <w:t xml:space="preserve">1990–2015. Black curves are for a low harvest level year (1990), a</w:t>
      </w:r>
      <w:r>
        <w:t xml:space="preserve"> </w:t>
      </w:r>
      <w:r>
        <w:t xml:space="preserve">medium harvest level year (2009), and a high harvest level year (2005).</w:t>
      </w:r>
      <w:r>
        <w:t xml:space="preserve"> </w:t>
      </w:r>
      <w:r>
        <w:t xml:space="preserve">Gray curves are for each of the other 23 years.</w:t>
      </w:r>
    </w:p>
    <w:p>
      <w:pPr>
        <w:pStyle w:val="CaptionedFigure"/>
      </w:pPr>
      <w:r>
        <w:drawing>
          <wp:inline>
            <wp:extent cx="5334000" cy="3690033"/>
            <wp:effectExtent b="0" l="0" r="0" t="0"/>
            <wp:docPr descr="Distribution of marginal costs by location for each of the years 1990–2015. Black curves are for a low harvest level year (1990), a medium harvest level year (2009), and a high harvest level year (2005). Gray curves are for each of the other 23 years." title="" id="35" name="Picture"/>
            <a:graphic>
              <a:graphicData uri="http://schemas.openxmlformats.org/drawingml/2006/picture">
                <pic:pic>
                  <pic:nvPicPr>
                    <pic:cNvPr descr="../../img/mcPlot.png" id="36" name="Picture"/>
                    <pic:cNvPicPr>
                      <a:picLocks noChangeArrowheads="1" noChangeAspect="1"/>
                    </pic:cNvPicPr>
                  </pic:nvPicPr>
                  <pic:blipFill>
                    <a:blip r:embed="rId34"/>
                    <a:stretch>
                      <a:fillRect/>
                    </a:stretch>
                  </pic:blipFill>
                  <pic:spPr bwMode="auto">
                    <a:xfrm>
                      <a:off x="0" y="0"/>
                      <a:ext cx="5334000" cy="3690033"/>
                    </a:xfrm>
                    <a:prstGeom prst="rect">
                      <a:avLst/>
                    </a:prstGeom>
                    <a:noFill/>
                    <a:ln w="9525">
                      <a:noFill/>
                      <a:headEnd/>
                      <a:tailEnd/>
                    </a:ln>
                  </pic:spPr>
                </pic:pic>
              </a:graphicData>
            </a:graphic>
          </wp:inline>
        </w:drawing>
      </w:r>
    </w:p>
    <w:p>
      <w:pPr>
        <w:pStyle w:val="ImageCaption"/>
      </w:pPr>
      <w:r>
        <w:t xml:space="preserve">Distribution of marginal costs by location for each of the</w:t>
      </w:r>
      <w:r>
        <w:t xml:space="preserve"> </w:t>
      </w:r>
      <w:r>
        <w:t xml:space="preserve">years 1990–2015. Black curves are for a low harvest level year (1990),</w:t>
      </w:r>
      <w:r>
        <w:t xml:space="preserve"> </w:t>
      </w:r>
      <w:r>
        <w:t xml:space="preserve">a medium harvest level year (2009), and a high harvest level year</w:t>
      </w:r>
      <w:r>
        <w:t xml:space="preserve"> </w:t>
      </w:r>
      <w:r>
        <w:t xml:space="preserve">(2005). Gray curves are for each of the other 23 years.</w:t>
      </w:r>
    </w:p>
    <w:p>
      <w:pPr>
        <w:pStyle w:val="CaptionedFigure"/>
      </w:pPr>
      <w:r>
        <w:drawing>
          <wp:inline>
            <wp:extent cx="5334000" cy="3690033"/>
            <wp:effectExtent b="0" l="0" r="0" t="0"/>
            <wp:docPr descr="Boxplots of costs by location and biomass requirements for the years 1990–2015." title="" id="38" name="Picture"/>
            <a:graphic>
              <a:graphicData uri="http://schemas.openxmlformats.org/drawingml/2006/picture">
                <pic:pic>
                  <pic:nvPicPr>
                    <pic:cNvPr descr="../../img/bPlot.png" id="39" name="Picture"/>
                    <pic:cNvPicPr>
                      <a:picLocks noChangeArrowheads="1" noChangeAspect="1"/>
                    </pic:cNvPicPr>
                  </pic:nvPicPr>
                  <pic:blipFill>
                    <a:blip r:embed="rId37"/>
                    <a:stretch>
                      <a:fillRect/>
                    </a:stretch>
                  </pic:blipFill>
                  <pic:spPr bwMode="auto">
                    <a:xfrm>
                      <a:off x="0" y="0"/>
                      <a:ext cx="5334000" cy="3690033"/>
                    </a:xfrm>
                    <a:prstGeom prst="rect">
                      <a:avLst/>
                    </a:prstGeom>
                    <a:noFill/>
                    <a:ln w="9525">
                      <a:noFill/>
                      <a:headEnd/>
                      <a:tailEnd/>
                    </a:ln>
                  </pic:spPr>
                </pic:pic>
              </a:graphicData>
            </a:graphic>
          </wp:inline>
        </w:drawing>
      </w:r>
    </w:p>
    <w:p>
      <w:pPr>
        <w:pStyle w:val="ImageCaption"/>
      </w:pPr>
      <w:r>
        <w:t xml:space="preserve">Boxplots of costs by location and biomass requirements for the</w:t>
      </w:r>
      <w:r>
        <w:t xml:space="preserve"> </w:t>
      </w:r>
      <w:r>
        <w:t xml:space="preserve">years 1990–2015.</w:t>
      </w:r>
    </w:p>
    <w:p>
      <w:pPr>
        <w:pStyle w:val="CaptionedFigure"/>
      </w:pPr>
      <w:r>
        <w:drawing>
          <wp:inline>
            <wp:extent cx="5334000" cy="3690033"/>
            <wp:effectExtent b="0" l="0" r="0" t="0"/>
            <wp:docPr descr="Average costs by location and year." title="" id="41" name="Picture"/>
            <a:graphic>
              <a:graphicData uri="http://schemas.openxmlformats.org/drawingml/2006/picture">
                <pic:pic>
                  <pic:nvPicPr>
                    <pic:cNvPr descr="../../img/avePlot.png" id="42" name="Picture"/>
                    <pic:cNvPicPr>
                      <a:picLocks noChangeArrowheads="1" noChangeAspect="1"/>
                    </pic:cNvPicPr>
                  </pic:nvPicPr>
                  <pic:blipFill>
                    <a:blip r:embed="rId40"/>
                    <a:stretch>
                      <a:fillRect/>
                    </a:stretch>
                  </pic:blipFill>
                  <pic:spPr bwMode="auto">
                    <a:xfrm>
                      <a:off x="0" y="0"/>
                      <a:ext cx="5334000" cy="3690033"/>
                    </a:xfrm>
                    <a:prstGeom prst="rect">
                      <a:avLst/>
                    </a:prstGeom>
                    <a:noFill/>
                    <a:ln w="9525">
                      <a:noFill/>
                      <a:headEnd/>
                      <a:tailEnd/>
                    </a:ln>
                  </pic:spPr>
                </pic:pic>
              </a:graphicData>
            </a:graphic>
          </wp:inline>
        </w:drawing>
      </w:r>
    </w:p>
    <w:p>
      <w:pPr>
        <w:pStyle w:val="ImageCaption"/>
      </w:pPr>
      <w:r>
        <w:t xml:space="preserve">Average costs by location and year.</w:t>
      </w:r>
    </w:p>
    <w:p>
      <w:pPr>
        <w:pStyle w:val="CaptionedFigure"/>
      </w:pPr>
      <w:r>
        <w:drawing>
          <wp:inline>
            <wp:extent cx="5334000" cy="8636496"/>
            <wp:effectExtent b="0" l="0" r="0" t="0"/>
            <wp:docPr descr="Relationship between township timber harvest intensity and required supply area for facilities with biomass requirements of 200, 400, and 800 Gg/a. The size of the dots reflects the proportion of the area of each township harvested in 2009." title="" id="44" name="Picture"/>
            <a:graphic>
              <a:graphicData uri="http://schemas.openxmlformats.org/drawingml/2006/picture">
                <pic:pic>
                  <pic:nvPicPr>
                    <pic:cNvPr descr="../../img/whitecourt2009.png" id="45" name="Picture"/>
                    <pic:cNvPicPr>
                      <a:picLocks noChangeArrowheads="1" noChangeAspect="1"/>
                    </pic:cNvPicPr>
                  </pic:nvPicPr>
                  <pic:blipFill>
                    <a:blip r:embed="rId43"/>
                    <a:stretch>
                      <a:fillRect/>
                    </a:stretch>
                  </pic:blipFill>
                  <pic:spPr bwMode="auto">
                    <a:xfrm>
                      <a:off x="0" y="0"/>
                      <a:ext cx="5334000" cy="8636496"/>
                    </a:xfrm>
                    <a:prstGeom prst="rect">
                      <a:avLst/>
                    </a:prstGeom>
                    <a:noFill/>
                    <a:ln w="9525">
                      <a:noFill/>
                      <a:headEnd/>
                      <a:tailEnd/>
                    </a:ln>
                  </pic:spPr>
                </pic:pic>
              </a:graphicData>
            </a:graphic>
          </wp:inline>
        </w:drawing>
      </w:r>
    </w:p>
    <w:p>
      <w:pPr>
        <w:pStyle w:val="ImageCaption"/>
      </w:pPr>
      <w:r>
        <w:t xml:space="preserve">Relationship between township timber harvest intensity and</w:t>
      </w:r>
      <w:r>
        <w:t xml:space="preserve"> </w:t>
      </w:r>
      <w:r>
        <w:t xml:space="preserve">required supply area for facilities with biomass requirements of 200,</w:t>
      </w:r>
      <w:r>
        <w:t xml:space="preserve"> </w:t>
      </w:r>
      <w:r>
        <w:t xml:space="preserve">400, and 800 Gg/a. The size of the dots reflects the proportion of the</w:t>
      </w:r>
      <w:r>
        <w:t xml:space="preserve"> </w:t>
      </w:r>
      <w:r>
        <w:t xml:space="preserve">area of each township harvested in 2009.</w:t>
      </w:r>
    </w:p>
    <w:p>
      <w:pPr>
        <w:pStyle w:val="CaptionedFigure"/>
      </w:pPr>
      <w:r>
        <w:drawing>
          <wp:inline>
            <wp:extent cx="5334000" cy="3052464"/>
            <wp:effectExtent b="0" l="0" r="0" t="0"/>
            <wp:docPr descr="Supply area for facilities in Whitecourt with biomass requirements of 200, 400, and 800 Gg/a for high harvest (2005), medium harvest (2009), and low harvest (1990) years." title="" id="47" name="Picture"/>
            <a:graphic>
              <a:graphicData uri="http://schemas.openxmlformats.org/drawingml/2006/picture">
                <pic:pic>
                  <pic:nvPicPr>
                    <pic:cNvPr descr="../../img/figContours3Years.png" id="48" name="Picture"/>
                    <pic:cNvPicPr>
                      <a:picLocks noChangeArrowheads="1" noChangeAspect="1"/>
                    </pic:cNvPicPr>
                  </pic:nvPicPr>
                  <pic:blipFill>
                    <a:blip r:embed="rId46"/>
                    <a:stretch>
                      <a:fillRect/>
                    </a:stretch>
                  </pic:blipFill>
                  <pic:spPr bwMode="auto">
                    <a:xfrm>
                      <a:off x="0" y="0"/>
                      <a:ext cx="5334000" cy="3052464"/>
                    </a:xfrm>
                    <a:prstGeom prst="rect">
                      <a:avLst/>
                    </a:prstGeom>
                    <a:noFill/>
                    <a:ln w="9525">
                      <a:noFill/>
                      <a:headEnd/>
                      <a:tailEnd/>
                    </a:ln>
                  </pic:spPr>
                </pic:pic>
              </a:graphicData>
            </a:graphic>
          </wp:inline>
        </w:drawing>
      </w:r>
    </w:p>
    <w:p>
      <w:pPr>
        <w:pStyle w:val="ImageCaption"/>
      </w:pPr>
      <w:r>
        <w:t xml:space="preserve">Supply area for facilities in Whitecourt with biomass</w:t>
      </w:r>
      <w:r>
        <w:t xml:space="preserve"> </w:t>
      </w:r>
      <w:r>
        <w:t xml:space="preserve">requirements of 200, 400, and 800 Gg/a for high harvest (2005), medium</w:t>
      </w:r>
      <w:r>
        <w:t xml:space="preserve"> </w:t>
      </w:r>
      <w:r>
        <w:t xml:space="preserve">harvest (2009), and low harvest (1990) years.</w:t>
      </w:r>
    </w:p>
    <w:p>
      <w:pPr>
        <w:pStyle w:val="CaptionedFigure"/>
      </w:pPr>
      <w:r>
        <w:drawing>
          <wp:inline>
            <wp:extent cx="5334000" cy="4715365"/>
            <wp:effectExtent b="0" l="0" r="0" t="0"/>
            <wp:docPr descr="Merchantable volume by township. The left panel indicates total merchantable volume in the township from the 250 m data, and the boundaries of Alberta’s green and white areas. The right panel shows the assumed volume per harvested hectare." title="" id="50" name="Picture"/>
            <a:graphic>
              <a:graphicData uri="http://schemas.openxmlformats.org/drawingml/2006/picture">
                <pic:pic>
                  <pic:nvPicPr>
                    <pic:cNvPr descr="../../img/Merchantable Volume.png" id="51" name="Picture"/>
                    <pic:cNvPicPr>
                      <a:picLocks noChangeArrowheads="1" noChangeAspect="1"/>
                    </pic:cNvPicPr>
                  </pic:nvPicPr>
                  <pic:blipFill>
                    <a:blip r:embed="rId49"/>
                    <a:stretch>
                      <a:fillRect/>
                    </a:stretch>
                  </pic:blipFill>
                  <pic:spPr bwMode="auto">
                    <a:xfrm>
                      <a:off x="0" y="0"/>
                      <a:ext cx="5334000" cy="4715365"/>
                    </a:xfrm>
                    <a:prstGeom prst="rect">
                      <a:avLst/>
                    </a:prstGeom>
                    <a:noFill/>
                    <a:ln w="9525">
                      <a:noFill/>
                      <a:headEnd/>
                      <a:tailEnd/>
                    </a:ln>
                  </pic:spPr>
                </pic:pic>
              </a:graphicData>
            </a:graphic>
          </wp:inline>
        </w:drawing>
      </w:r>
    </w:p>
    <w:p>
      <w:pPr>
        <w:pStyle w:val="ImageCaption"/>
      </w:pPr>
      <w:r>
        <w:t xml:space="preserve">Merchantable volume by township. The left panel indicates total</w:t>
      </w:r>
      <w:r>
        <w:t xml:space="preserve"> </w:t>
      </w:r>
      <w:r>
        <w:t xml:space="preserve">merchantable volume in the township from the 250 m data, and the</w:t>
      </w:r>
      <w:r>
        <w:t xml:space="preserve"> </w:t>
      </w:r>
      <w:r>
        <w:t xml:space="preserve">boundaries of Alberta’s green and white areas. The right panel shows the</w:t>
      </w:r>
      <w:r>
        <w:t xml:space="preserve"> </w:t>
      </w:r>
      <w:r>
        <w:t xml:space="preserve">assumed volume per harvested hectare.</w:t>
      </w:r>
    </w:p>
    <w:bookmarkEnd w:id="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46" Target="media/rId46.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hyperlink" Id="rId20" Target="mailto:gwa@ualber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gwa@ualber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variability in economic availability of residual biomass from timber harvest in west-central Alberta, Canada (1990–2015)</dc:title>
  <dc:creator>Glen W. Armstrong1,*; Jay A. Anderson2; Alex W. McPhee2; M.K. Luckert2</dc:creator>
  <cp:keywords/>
  <dcterms:created xsi:type="dcterms:W3CDTF">2022-11-18T18:39:48Z</dcterms:created>
  <dcterms:modified xsi:type="dcterms:W3CDTF">2022-11-18T18:39:48Z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2022-11-18</vt:lpwstr>
  </property>
</Properties>
</file>